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Times New Roman"/>
          <w:b/>
          <w:kern w:val="0"/>
          <w:szCs w:val="21"/>
        </w:rPr>
      </w:pPr>
      <w:r>
        <w:rPr>
          <w:rFonts w:hint="eastAsia" w:ascii="微软雅黑" w:hAnsi="微软雅黑" w:eastAsia="微软雅黑" w:cs="Times New Roman"/>
          <w:b/>
          <w:kern w:val="0"/>
          <w:szCs w:val="21"/>
        </w:rPr>
        <w:t>封面：</w:t>
      </w:r>
    </w:p>
    <w:p>
      <w:pPr>
        <w:rPr>
          <w:rFonts w:ascii="微软雅黑" w:hAnsi="微软雅黑" w:eastAsia="微软雅黑" w:cs="Times New Roman"/>
          <w:b/>
          <w:kern w:val="0"/>
          <w:szCs w:val="21"/>
        </w:rPr>
      </w:pPr>
      <w:r>
        <w:drawing>
          <wp:inline distT="0" distB="0" distL="0" distR="0">
            <wp:extent cx="5274310" cy="7460615"/>
            <wp:effectExtent l="0" t="0" r="254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7460615"/>
                    </a:xfrm>
                    <a:prstGeom prst="rect">
                      <a:avLst/>
                    </a:prstGeom>
                    <a:noFill/>
                    <a:ln>
                      <a:noFill/>
                    </a:ln>
                  </pic:spPr>
                </pic:pic>
              </a:graphicData>
            </a:graphic>
          </wp:inline>
        </w:drawing>
      </w:r>
    </w:p>
    <w:p>
      <w:pPr>
        <w:widowControl/>
        <w:jc w:val="center"/>
        <w:rPr>
          <w:rFonts w:ascii="微软雅黑" w:hAnsi="微软雅黑" w:eastAsia="微软雅黑" w:cs="微软雅黑"/>
          <w:bCs/>
          <w:color w:val="FF0000"/>
          <w:kern w:val="0"/>
          <w:szCs w:val="21"/>
          <w:lang w:bidi="ar"/>
        </w:rPr>
      </w:pPr>
      <w:r>
        <w:drawing>
          <wp:inline distT="0" distB="0" distL="0" distR="0">
            <wp:extent cx="5273675" cy="621538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85231" cy="6229224"/>
                    </a:xfrm>
                    <a:prstGeom prst="rect">
                      <a:avLst/>
                    </a:prstGeom>
                  </pic:spPr>
                </pic:pic>
              </a:graphicData>
            </a:graphic>
          </wp:inline>
        </w:drawing>
      </w:r>
    </w:p>
    <w:p>
      <w:pPr>
        <w:widowControl/>
        <w:rPr>
          <w:rFonts w:ascii="宋体" w:hAnsi="宋体" w:eastAsia="宋体" w:cs="微软雅黑"/>
          <w:b/>
          <w:color w:val="7030A0"/>
          <w:kern w:val="0"/>
          <w:sz w:val="28"/>
          <w:szCs w:val="28"/>
          <w:lang w:bidi="ar"/>
        </w:rPr>
      </w:pPr>
    </w:p>
    <w:p>
      <w:pPr>
        <w:widowControl/>
        <w:rPr>
          <w:rFonts w:ascii="宋体" w:hAnsi="宋体" w:eastAsia="宋体" w:cs="微软雅黑"/>
          <w:b/>
          <w:color w:val="7030A0"/>
          <w:kern w:val="0"/>
          <w:sz w:val="30"/>
          <w:szCs w:val="30"/>
          <w:lang w:bidi="ar"/>
        </w:rPr>
      </w:pPr>
      <w:r>
        <w:rPr>
          <w:rFonts w:hint="eastAsia" w:ascii="宋体" w:hAnsi="宋体" w:eastAsia="宋体" w:cs="微软雅黑"/>
          <w:b/>
          <w:color w:val="7030A0"/>
          <w:kern w:val="0"/>
          <w:sz w:val="30"/>
          <w:szCs w:val="30"/>
          <w:lang w:bidi="ar"/>
        </w:rPr>
        <w:t>电脑端看课流程：</w:t>
      </w:r>
    </w:p>
    <w:p>
      <w:pPr>
        <w:widowControl/>
        <w:rPr>
          <w:rFonts w:ascii="宋体" w:hAnsi="宋体" w:eastAsia="宋体" w:cs="微软雅黑"/>
          <w:b/>
          <w:color w:val="7030A0"/>
          <w:kern w:val="0"/>
          <w:sz w:val="30"/>
          <w:szCs w:val="30"/>
          <w:lang w:bidi="ar"/>
        </w:rPr>
      </w:pPr>
      <w:r>
        <w:rPr>
          <w:rFonts w:hint="eastAsia" w:ascii="宋体" w:hAnsi="宋体" w:eastAsia="宋体" w:cs="微软雅黑"/>
          <w:b/>
          <w:color w:val="7030A0"/>
          <w:kern w:val="0"/>
          <w:sz w:val="30"/>
          <w:szCs w:val="30"/>
          <w:lang w:bidi="ar"/>
        </w:rPr>
        <w:t>登录</w:t>
      </w:r>
      <w:r>
        <w:fldChar w:fldCharType="begin"/>
      </w:r>
      <w:r>
        <w:instrText xml:space="preserve"> HYPERLINK "http://www.jinyingjie.com" </w:instrText>
      </w:r>
      <w:r>
        <w:fldChar w:fldCharType="separate"/>
      </w:r>
      <w:r>
        <w:rPr>
          <w:rStyle w:val="9"/>
          <w:rFonts w:hint="eastAsia" w:ascii="宋体" w:hAnsi="宋体" w:eastAsia="宋体" w:cs="微软雅黑"/>
          <w:b/>
          <w:color w:val="7030A0"/>
          <w:kern w:val="0"/>
          <w:sz w:val="30"/>
          <w:szCs w:val="30"/>
          <w:lang w:bidi="ar"/>
        </w:rPr>
        <w:t>www</w:t>
      </w:r>
      <w:r>
        <w:rPr>
          <w:rStyle w:val="9"/>
          <w:rFonts w:ascii="宋体" w:hAnsi="宋体" w:eastAsia="宋体" w:cs="微软雅黑"/>
          <w:b/>
          <w:color w:val="7030A0"/>
          <w:kern w:val="0"/>
          <w:sz w:val="30"/>
          <w:szCs w:val="30"/>
          <w:lang w:bidi="ar"/>
        </w:rPr>
        <w:t>.jinyingjie.com</w:t>
      </w:r>
      <w:r>
        <w:rPr>
          <w:rStyle w:val="9"/>
          <w:rFonts w:ascii="宋体" w:hAnsi="宋体" w:eastAsia="宋体" w:cs="微软雅黑"/>
          <w:b/>
          <w:color w:val="7030A0"/>
          <w:kern w:val="0"/>
          <w:sz w:val="30"/>
          <w:szCs w:val="30"/>
          <w:lang w:bidi="ar"/>
        </w:rPr>
        <w:fldChar w:fldCharType="end"/>
      </w:r>
      <w:r>
        <w:rPr>
          <w:rFonts w:hint="eastAsia" w:ascii="宋体" w:hAnsi="宋体" w:eastAsia="宋体" w:cs="微软雅黑"/>
          <w:b/>
          <w:color w:val="7030A0"/>
          <w:kern w:val="0"/>
          <w:sz w:val="30"/>
          <w:szCs w:val="30"/>
          <w:lang w:bidi="ar"/>
        </w:rPr>
        <w:t>,登录账号和密码，然后进入直播学院端，在“我的课程”里面观看</w:t>
      </w: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jc w:val="center"/>
        <w:rPr>
          <w:rFonts w:ascii="微软雅黑" w:hAnsi="微软雅黑" w:eastAsia="微软雅黑" w:cs="微软雅黑"/>
          <w:b/>
          <w:kern w:val="0"/>
          <w:sz w:val="52"/>
          <w:szCs w:val="52"/>
        </w:rPr>
      </w:pPr>
    </w:p>
    <w:p>
      <w:pPr>
        <w:jc w:val="center"/>
        <w:rPr>
          <w:rFonts w:ascii="微软雅黑" w:hAnsi="微软雅黑" w:eastAsia="微软雅黑" w:cs="微软雅黑"/>
          <w:b/>
          <w:kern w:val="0"/>
          <w:sz w:val="52"/>
          <w:szCs w:val="52"/>
        </w:rPr>
      </w:pPr>
    </w:p>
    <w:p>
      <w:pPr>
        <w:spacing w:line="480" w:lineRule="auto"/>
        <w:jc w:val="center"/>
        <w:rPr>
          <w:rFonts w:ascii="华文仿宋" w:hAnsi="华文仿宋" w:eastAsia="华文仿宋" w:cs="微软雅黑"/>
          <w:b/>
          <w:kern w:val="0"/>
          <w:sz w:val="48"/>
          <w:szCs w:val="48"/>
        </w:rPr>
      </w:pPr>
      <w:r>
        <w:rPr>
          <w:rFonts w:hint="eastAsia" w:ascii="华文仿宋" w:hAnsi="华文仿宋" w:eastAsia="华文仿宋" w:cs="微软雅黑"/>
          <w:b/>
          <w:kern w:val="0"/>
          <w:sz w:val="48"/>
          <w:szCs w:val="48"/>
        </w:rPr>
        <w:t>金英杰直播学院</w:t>
      </w:r>
      <w:r>
        <w:rPr>
          <w:rFonts w:hint="eastAsia" w:ascii="华文仿宋" w:hAnsi="华文仿宋" w:eastAsia="华文仿宋" w:cs="微软雅黑"/>
          <w:b/>
          <w:kern w:val="0"/>
          <w:sz w:val="48"/>
          <w:szCs w:val="48"/>
        </w:rPr>
        <w:br w:type="textWrapping"/>
      </w:r>
      <w:r>
        <w:rPr>
          <w:rFonts w:hint="eastAsia" w:ascii="华文仿宋" w:hAnsi="华文仿宋" w:eastAsia="华文仿宋" w:cs="微软雅黑"/>
          <w:b/>
          <w:kern w:val="0"/>
          <w:sz w:val="48"/>
          <w:szCs w:val="48"/>
        </w:rPr>
        <w:t xml:space="preserve">乡村全科 </w:t>
      </w:r>
    </w:p>
    <w:p>
      <w:pPr>
        <w:spacing w:line="480" w:lineRule="auto"/>
        <w:jc w:val="center"/>
        <w:rPr>
          <w:rFonts w:ascii="华文仿宋" w:hAnsi="华文仿宋" w:eastAsia="华文仿宋" w:cs="微软雅黑"/>
          <w:b/>
          <w:bCs/>
          <w:sz w:val="48"/>
          <w:szCs w:val="48"/>
        </w:rPr>
      </w:pPr>
      <w:r>
        <w:rPr>
          <w:rFonts w:hint="eastAsia" w:ascii="华文仿宋" w:hAnsi="华文仿宋" w:eastAsia="华文仿宋" w:cs="微软雅黑"/>
          <w:b/>
          <w:bCs/>
          <w:sz w:val="48"/>
          <w:szCs w:val="48"/>
          <w:lang w:val="en-US" w:eastAsia="zh-CN"/>
        </w:rPr>
        <w:t>临床呼吸</w:t>
      </w:r>
      <w:r>
        <w:rPr>
          <w:rFonts w:hint="eastAsia" w:ascii="华文仿宋" w:hAnsi="华文仿宋" w:eastAsia="华文仿宋" w:cs="微软雅黑"/>
          <w:b/>
          <w:bCs/>
          <w:sz w:val="48"/>
          <w:szCs w:val="48"/>
        </w:rPr>
        <w:t>笔记</w:t>
      </w:r>
    </w:p>
    <w:p>
      <w:pPr>
        <w:spacing w:line="480" w:lineRule="auto"/>
        <w:jc w:val="center"/>
        <w:rPr>
          <w:rFonts w:hint="eastAsia" w:ascii="华文仿宋" w:hAnsi="华文仿宋" w:eastAsia="华文仿宋" w:cs="微软雅黑"/>
          <w:b/>
          <w:bCs/>
          <w:sz w:val="48"/>
          <w:szCs w:val="48"/>
        </w:rPr>
      </w:pPr>
      <w:r>
        <w:rPr>
          <w:rFonts w:hint="eastAsia" w:ascii="华文仿宋" w:hAnsi="华文仿宋" w:eastAsia="华文仿宋" w:cs="微软雅黑"/>
          <w:b/>
          <w:bCs/>
          <w:sz w:val="48"/>
          <w:szCs w:val="48"/>
        </w:rPr>
        <w:t>2</w:t>
      </w:r>
      <w:r>
        <w:rPr>
          <w:rFonts w:ascii="华文仿宋" w:hAnsi="华文仿宋" w:eastAsia="华文仿宋" w:cs="微软雅黑"/>
          <w:b/>
          <w:bCs/>
          <w:sz w:val="48"/>
          <w:szCs w:val="48"/>
        </w:rPr>
        <w:t>019</w:t>
      </w:r>
      <w:r>
        <w:rPr>
          <w:rFonts w:hint="eastAsia" w:ascii="华文仿宋" w:hAnsi="华文仿宋" w:eastAsia="华文仿宋" w:cs="微软雅黑"/>
          <w:b/>
          <w:bCs/>
          <w:sz w:val="48"/>
          <w:szCs w:val="48"/>
        </w:rPr>
        <w:t>年1</w:t>
      </w:r>
      <w:r>
        <w:rPr>
          <w:rFonts w:hint="eastAsia" w:ascii="华文仿宋" w:hAnsi="华文仿宋" w:eastAsia="华文仿宋" w:cs="微软雅黑"/>
          <w:b/>
          <w:bCs/>
          <w:sz w:val="48"/>
          <w:szCs w:val="48"/>
          <w:lang w:val="en-US" w:eastAsia="zh-CN"/>
        </w:rPr>
        <w:t>1</w:t>
      </w:r>
      <w:r>
        <w:rPr>
          <w:rFonts w:hint="eastAsia" w:ascii="华文仿宋" w:hAnsi="华文仿宋" w:eastAsia="华文仿宋" w:cs="微软雅黑"/>
          <w:b/>
          <w:bCs/>
          <w:sz w:val="48"/>
          <w:szCs w:val="48"/>
        </w:rPr>
        <w:t>月</w:t>
      </w:r>
      <w:r>
        <w:rPr>
          <w:rFonts w:hint="eastAsia" w:ascii="华文仿宋" w:hAnsi="华文仿宋" w:eastAsia="华文仿宋" w:cs="微软雅黑"/>
          <w:b/>
          <w:bCs/>
          <w:sz w:val="48"/>
          <w:szCs w:val="48"/>
          <w:lang w:val="en-US" w:eastAsia="zh-CN"/>
        </w:rPr>
        <w:t>28</w:t>
      </w:r>
      <w:r>
        <w:rPr>
          <w:rFonts w:hint="eastAsia" w:ascii="华文仿宋" w:hAnsi="华文仿宋" w:eastAsia="华文仿宋" w:cs="微软雅黑"/>
          <w:b/>
          <w:bCs/>
          <w:sz w:val="48"/>
          <w:szCs w:val="48"/>
        </w:rPr>
        <w:t>日</w:t>
      </w:r>
    </w:p>
    <w:p>
      <w:pPr>
        <w:spacing w:line="480" w:lineRule="auto"/>
        <w:jc w:val="center"/>
        <w:rPr>
          <w:rFonts w:hint="default" w:ascii="华文仿宋" w:hAnsi="华文仿宋" w:eastAsia="华文仿宋" w:cs="微软雅黑"/>
          <w:b/>
          <w:bCs/>
          <w:sz w:val="48"/>
          <w:szCs w:val="48"/>
          <w:lang w:val="en-US" w:eastAsia="zh-CN"/>
        </w:rPr>
      </w:pPr>
      <w:r>
        <w:rPr>
          <w:rFonts w:hint="eastAsia" w:ascii="华文仿宋" w:hAnsi="华文仿宋" w:eastAsia="华文仿宋" w:cs="微软雅黑"/>
          <w:b/>
          <w:bCs/>
          <w:sz w:val="48"/>
          <w:szCs w:val="48"/>
          <w:lang w:val="en-US" w:eastAsia="zh-CN"/>
        </w:rPr>
        <w:t>荞麦老师整理</w:t>
      </w:r>
    </w:p>
    <w:p>
      <w:pPr>
        <w:spacing w:line="360" w:lineRule="auto"/>
        <w:jc w:val="center"/>
        <w:rPr>
          <w:rFonts w:ascii="微软雅黑" w:hAnsi="微软雅黑" w:eastAsia="微软雅黑" w:cs="微软雅黑"/>
          <w:b/>
          <w:bCs/>
          <w:sz w:val="48"/>
          <w:szCs w:val="48"/>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jc w:val="center"/>
        <w:rPr>
          <w:rFonts w:ascii="微软雅黑" w:hAnsi="微软雅黑" w:eastAsia="微软雅黑" w:cs="微软雅黑"/>
          <w:bCs/>
          <w:color w:val="FF0000"/>
          <w:kern w:val="0"/>
          <w:szCs w:val="21"/>
          <w:lang w:bidi="ar"/>
        </w:rPr>
      </w:pPr>
    </w:p>
    <w:p>
      <w:pPr>
        <w:widowControl/>
        <w:numPr>
          <w:ilvl w:val="0"/>
          <w:numId w:val="0"/>
        </w:numPr>
        <w:jc w:val="both"/>
        <w:rPr>
          <w:rFonts w:hint="eastAsia"/>
          <w:color w:val="FF0000"/>
          <w:sz w:val="44"/>
          <w:szCs w:val="44"/>
          <w:highlight w:val="none"/>
        </w:rPr>
      </w:pPr>
    </w:p>
    <w:p>
      <w:pPr>
        <w:widowControl/>
        <w:numPr>
          <w:ilvl w:val="0"/>
          <w:numId w:val="0"/>
        </w:numPr>
        <w:jc w:val="both"/>
        <w:rPr>
          <w:rFonts w:hint="eastAsia"/>
          <w:b/>
          <w:bCs/>
          <w:color w:val="FF0000"/>
          <w:sz w:val="44"/>
          <w:szCs w:val="44"/>
          <w:highlight w:val="none"/>
        </w:rPr>
      </w:pPr>
      <w:r>
        <w:rPr>
          <w:rFonts w:hint="eastAsia"/>
          <w:b/>
          <w:bCs/>
          <w:color w:val="FF0000"/>
          <w:sz w:val="44"/>
          <w:szCs w:val="44"/>
          <w:highlight w:val="none"/>
        </w:rPr>
        <w:t>急性上呼吸道感染</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急性上呼吸道感染约有70%〜80%由病毒引起</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治疗原则与预防</w:t>
      </w:r>
    </w:p>
    <w:p>
      <w:pPr>
        <w:widowControl/>
        <w:numPr>
          <w:ilvl w:val="0"/>
          <w:numId w:val="0"/>
        </w:numPr>
        <w:jc w:val="both"/>
        <w:rPr>
          <w:rFonts w:hint="eastAsia" w:ascii="微软雅黑" w:hAnsi="微软雅黑" w:eastAsia="微软雅黑" w:cs="微软雅黑"/>
          <w:b/>
          <w:bCs/>
          <w:color w:val="FF0000"/>
          <w:sz w:val="32"/>
          <w:szCs w:val="32"/>
          <w:highlight w:val="none"/>
        </w:rPr>
      </w:pPr>
      <w:r>
        <w:rPr>
          <w:rFonts w:hint="eastAsia" w:ascii="微软雅黑" w:hAnsi="微软雅黑" w:eastAsia="微软雅黑" w:cs="微软雅黑"/>
          <w:b/>
          <w:bCs/>
          <w:color w:val="FF0000"/>
          <w:sz w:val="32"/>
          <w:szCs w:val="32"/>
          <w:highlight w:val="none"/>
        </w:rPr>
        <w:t>治疗原则</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 xml:space="preserve">    由于目前尚无特效抗病毒药物，以对症处理为主，同时戒烟、注意休息、多饮水、保持室内空气流通和防治继发细菌感染。</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1.对症治疗  对有急性咳嗽、鼻后滴漏和咽干的患者应给予伪麻黄碱治疗以减轻鼻部充血，亦可局部滴鼻应用。必要时适当加用解热镇痛类药物</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2.抗菌药物治疗</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3.抗病毒药物治疗</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4.中药治疗</w:t>
      </w:r>
    </w:p>
    <w:p>
      <w:pPr>
        <w:widowControl/>
        <w:numPr>
          <w:ilvl w:val="0"/>
          <w:numId w:val="0"/>
        </w:numPr>
        <w:jc w:val="both"/>
        <w:rPr>
          <w:rFonts w:hint="eastAsia" w:ascii="微软雅黑" w:hAnsi="微软雅黑" w:eastAsia="微软雅黑" w:cs="微软雅黑"/>
          <w:b/>
          <w:bCs/>
          <w:color w:val="FF0000"/>
          <w:sz w:val="32"/>
          <w:szCs w:val="32"/>
          <w:highlight w:val="none"/>
        </w:rPr>
      </w:pPr>
      <w:r>
        <w:rPr>
          <w:rFonts w:hint="eastAsia" w:ascii="微软雅黑" w:hAnsi="微软雅黑" w:eastAsia="微软雅黑" w:cs="微软雅黑"/>
          <w:b/>
          <w:bCs/>
          <w:color w:val="FF0000"/>
          <w:sz w:val="32"/>
          <w:szCs w:val="32"/>
          <w:highlight w:val="none"/>
        </w:rPr>
        <w:t>转诊指征</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1.明显气促表现（呼吸大于30次/分，发绀、三凹征等)，或血气分析提示氧合指数小于300,或指尖血氧饱和度小于90%</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2.有脱水征，间歇性呼吸暂停</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3.持续高热2～3天不退，存在有长期卧床、糖尿病、冠心病、慢性阻塞性肺疾病、慢性充血性心力衰竭、因器官移植而长期使用糖皮质激素和免疫抑制剂、自身免疫性疾病如系统性红斑狼疮等基础疾病者▼</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小儿急性上呼吸道感染</w:t>
      </w:r>
    </w:p>
    <w:p>
      <w:pPr>
        <w:widowControl/>
        <w:numPr>
          <w:ilvl w:val="0"/>
          <w:numId w:val="0"/>
        </w:numPr>
        <w:ind w:firstLine="640"/>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各种病毒和细菌均可引起小儿急性上呼吸道感染，但90%以上为病毒。主要有鼻病毒、呼吸道合胞病毒、流感病毒、副流感病毒、腺病毒、柯萨奇病毒、冠状病毒等。细菌感染10%左右，其中部分为病毒感染后继发的细菌感染，最常见为溶血性链球菌，其次为肺炎链球菌、流感嗜血杆菌等。肺炎支原体等亦可引起“上感”。营养障碍性疾病、免疫缺陷病、被动吸烟、护理不当、气候改变、环境不良等因素均易致反复上呼吸道感染或使病程迁延。</w:t>
      </w:r>
    </w:p>
    <w:p>
      <w:pPr>
        <w:widowControl/>
        <w:numPr>
          <w:ilvl w:val="0"/>
          <w:numId w:val="0"/>
        </w:numPr>
        <w:ind w:firstLine="640"/>
        <w:jc w:val="both"/>
        <w:rPr>
          <w:rFonts w:hint="eastAsia" w:ascii="微软雅黑" w:hAnsi="微软雅黑" w:eastAsia="微软雅黑" w:cs="微软雅黑"/>
          <w:color w:val="FF0000"/>
          <w:sz w:val="30"/>
          <w:szCs w:val="30"/>
          <w:highlight w:val="none"/>
        </w:rPr>
      </w:pPr>
      <w:r>
        <w:rPr>
          <w:rFonts w:hint="eastAsia" w:ascii="微软雅黑" w:hAnsi="微软雅黑" w:eastAsia="微软雅黑" w:cs="微软雅黑"/>
          <w:color w:val="FF0000"/>
          <w:sz w:val="30"/>
          <w:szCs w:val="30"/>
          <w:highlight w:val="none"/>
        </w:rPr>
        <w:t>两种特殊类型急性上呼吸道感染</w:t>
      </w:r>
    </w:p>
    <w:p>
      <w:pPr>
        <w:widowControl/>
        <w:numPr>
          <w:ilvl w:val="0"/>
          <w:numId w:val="0"/>
        </w:numPr>
        <w:ind w:firstLine="640"/>
        <w:jc w:val="both"/>
        <w:rPr>
          <w:rFonts w:hint="eastAsia" w:ascii="微软雅黑" w:hAnsi="微软雅黑" w:eastAsia="微软雅黑" w:cs="微软雅黑"/>
          <w:color w:val="FF0000"/>
          <w:sz w:val="30"/>
          <w:szCs w:val="30"/>
          <w:highlight w:val="none"/>
        </w:rPr>
      </w:pPr>
      <w:r>
        <w:rPr>
          <w:rFonts w:hint="eastAsia" w:ascii="微软雅黑" w:hAnsi="微软雅黑" w:eastAsia="微软雅黑" w:cs="微软雅黑"/>
          <w:color w:val="FF0000"/>
          <w:sz w:val="30"/>
          <w:szCs w:val="30"/>
          <w:highlight w:val="none"/>
        </w:rPr>
        <w:t>(1)疱疹性咽峡炎：</w:t>
      </w:r>
    </w:p>
    <w:p>
      <w:pPr>
        <w:widowControl/>
        <w:numPr>
          <w:ilvl w:val="0"/>
          <w:numId w:val="0"/>
        </w:numPr>
        <w:ind w:firstLine="640"/>
        <w:jc w:val="both"/>
        <w:rPr>
          <w:rFonts w:hint="eastAsia" w:ascii="微软雅黑" w:hAnsi="微软雅黑" w:eastAsia="微软雅黑" w:cs="微软雅黑"/>
          <w:color w:val="FF0000"/>
          <w:sz w:val="30"/>
          <w:szCs w:val="30"/>
          <w:highlight w:val="none"/>
        </w:rPr>
      </w:pPr>
      <w:r>
        <w:rPr>
          <w:rFonts w:hint="eastAsia" w:ascii="微软雅黑" w:hAnsi="微软雅黑" w:eastAsia="微软雅黑" w:cs="微软雅黑"/>
          <w:color w:val="FF0000"/>
          <w:sz w:val="30"/>
          <w:szCs w:val="30"/>
          <w:highlight w:val="none"/>
        </w:rPr>
        <w:t xml:space="preserve">    病原为柯萨奇A组病毒，好发于夏秋季。临床表现为急起高热、咽痛、流涎、厌食、呕吐等。 </w:t>
      </w:r>
    </w:p>
    <w:p>
      <w:pPr>
        <w:widowControl/>
        <w:numPr>
          <w:ilvl w:val="0"/>
          <w:numId w:val="0"/>
        </w:numPr>
        <w:ind w:firstLine="640"/>
        <w:jc w:val="both"/>
        <w:rPr>
          <w:rFonts w:hint="eastAsia" w:ascii="微软雅黑" w:hAnsi="微软雅黑" w:eastAsia="微软雅黑" w:cs="微软雅黑"/>
          <w:color w:val="FF0000"/>
          <w:sz w:val="30"/>
          <w:szCs w:val="30"/>
          <w:highlight w:val="none"/>
        </w:rPr>
      </w:pPr>
      <w:r>
        <w:rPr>
          <w:rFonts w:hint="eastAsia" w:ascii="微软雅黑" w:hAnsi="微软雅黑" w:eastAsia="微软雅黑" w:cs="微软雅黑"/>
          <w:color w:val="FF0000"/>
          <w:sz w:val="30"/>
          <w:szCs w:val="30"/>
          <w:highlight w:val="none"/>
        </w:rPr>
        <w:t xml:space="preserve">    临床体征可见咽部充血，咽腭弓、悬雍垂、软腭等处有2〜4mm大小灰白色的疱疹，周围有红晕，1〜2天后破溃形成小溃疡。病程1周左右。</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(2)咽结合膜热：</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 xml:space="preserve">    病原为腺病毒3型和7型，常发生于春夏季。以发热、咽炎、结膜炎为特征。可散发或发生小流行。临床表现多呈高热、咽痛、眼部刺痛。 </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 xml:space="preserve">    临床体征为咽部充血，可见白色点块状分泌物，周边无红晕，易于剥离，一侧或两侧滤泡性眼结膜炎，伴球结膜出血。颈部、耳后淋巴结肿大。病程1～2周。</w:t>
      </w:r>
    </w:p>
    <w:p>
      <w:pPr>
        <w:widowControl/>
        <w:numPr>
          <w:ilvl w:val="0"/>
          <w:numId w:val="0"/>
        </w:numPr>
        <w:jc w:val="both"/>
        <w:rPr>
          <w:rFonts w:hint="eastAsia" w:ascii="微软雅黑" w:hAnsi="微软雅黑" w:eastAsia="微软雅黑" w:cs="微软雅黑"/>
          <w:b/>
          <w:bCs/>
          <w:color w:val="FF0000"/>
          <w:sz w:val="32"/>
          <w:szCs w:val="32"/>
          <w:highlight w:val="none"/>
        </w:rPr>
      </w:pPr>
      <w:r>
        <w:rPr>
          <w:rFonts w:hint="eastAsia" w:ascii="微软雅黑" w:hAnsi="微软雅黑" w:eastAsia="微软雅黑" w:cs="微软雅黑"/>
          <w:b/>
          <w:bCs/>
          <w:color w:val="FF0000"/>
          <w:sz w:val="32"/>
          <w:szCs w:val="32"/>
          <w:highlight w:val="none"/>
        </w:rPr>
        <w:t>诊断与鉴别诊断</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流行性感冒</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为流感病毒、副流感病毒所致。有明显流行病史。全身症状重，如高热、头痛、咽痛、四肢肌肉酸痛等，上呼吸道卡他症状较轻</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急性传染病早期</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急性上呼吸道感染常为各种急性传染病的前驱症状</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急性阑尾炎</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伴腹痛者应与急性阑尾炎鉴别。急性阑尾炎腹痛常先于发热，腹痛部位以右下腹为主，呈持续性，有腹肌紧张及固定压痛点等。白细胞及中性粒细胞增高。</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 xml:space="preserve">过敏性鼻炎 </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某些学龄前儿童和年长儿童有急性上呼吸道感染症状，如鼻塞、流涕、鼻痒、打喷嚏、咳嗽等症状，可持续超过2周或反复发作，而全身症状则较轻，应考虑过敏性鼻炎。鼻拭子涂片嗜酸性粒细胞增多</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000000" w:themeColor="text1"/>
          <w:sz w:val="32"/>
          <w:szCs w:val="32"/>
          <w:highlight w:val="none"/>
          <w14:textFill>
            <w14:solidFill>
              <w14:schemeClr w14:val="tx1"/>
            </w14:solidFill>
          </w14:textFill>
        </w:rPr>
        <w:t>手足口病    常见病原为柯萨奇病毒A组16型和肠道病毒71型（EV71)。若伴手足掌侧出现疱疹者，则临床诊断为手足口病。</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急性支气管炎</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临床表现</w:t>
      </w:r>
    </w:p>
    <w:p>
      <w:pPr>
        <w:widowControl/>
        <w:numPr>
          <w:ilvl w:val="0"/>
          <w:numId w:val="0"/>
        </w:numPr>
        <w:jc w:val="both"/>
        <w:rPr>
          <w:rFonts w:hint="eastAsia" w:ascii="微软雅黑" w:hAnsi="微软雅黑" w:eastAsia="微软雅黑" w:cs="微软雅黑"/>
          <w:color w:val="FF0000"/>
          <w:sz w:val="32"/>
          <w:szCs w:val="32"/>
          <w:highlight w:val="none"/>
        </w:rPr>
      </w:pPr>
      <w:r>
        <w:rPr>
          <w:rFonts w:hint="eastAsia" w:ascii="微软雅黑" w:hAnsi="微软雅黑" w:eastAsia="微软雅黑" w:cs="微软雅黑"/>
          <w:color w:val="FF0000"/>
          <w:sz w:val="32"/>
          <w:szCs w:val="32"/>
          <w:highlight w:val="none"/>
        </w:rPr>
        <w:t>1.症状起病较急，先为干咳或少量黏液性痰，随后痰量增多，咳嗽加剧，偶有痰中带血。伴有支气管痉挛时可出现不同程度的气促、胸闷感。咳嗽、咳痰可延续2～3周，如迁延不愈可演变成慢性支气管炎。通常全身症状较轻，可有发热与全身不适。</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000000" w:themeColor="text1"/>
          <w:sz w:val="32"/>
          <w:szCs w:val="32"/>
          <w:highlight w:val="none"/>
          <w14:textFill>
            <w14:solidFill>
              <w14:schemeClr w14:val="tx1"/>
            </w14:solidFill>
          </w14:textFill>
        </w:rPr>
        <w:t>2.体格检查：可无明显阳性表现，也可在两肺听到干、湿啰音，部位不固定，咳嗽后可减少或消失。</w:t>
      </w:r>
    </w:p>
    <w:p>
      <w:pPr>
        <w:widowControl/>
        <w:numPr>
          <w:ilvl w:val="0"/>
          <w:numId w:val="0"/>
        </w:numPr>
        <w:jc w:val="both"/>
        <w:rPr>
          <w:rFonts w:hint="eastAsia" w:ascii="微软雅黑" w:hAnsi="微软雅黑" w:eastAsia="微软雅黑" w:cs="微软雅黑"/>
          <w:b/>
          <w:bCs/>
          <w:color w:val="FF0000"/>
          <w:sz w:val="32"/>
          <w:szCs w:val="32"/>
          <w:highlight w:val="none"/>
        </w:rPr>
      </w:pPr>
      <w:r>
        <w:rPr>
          <w:rFonts w:hint="eastAsia" w:ascii="微软雅黑" w:hAnsi="微软雅黑" w:eastAsia="微软雅黑" w:cs="微软雅黑"/>
          <w:b/>
          <w:bCs/>
          <w:color w:val="FF0000"/>
          <w:sz w:val="32"/>
          <w:szCs w:val="32"/>
          <w:highlight w:val="none"/>
        </w:rPr>
        <w:t>鉴别诊断</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1.流行性感冒</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起病急骤，发热较高，全身中毒症状(全身酸痛、头痛、乏力）明显，呼吸道局部症状较轻。流行病史、分泌物病毒分离和血清学检查有助于鉴别。</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2.急性上呼吸道感染</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鼻咽部症状明显，咳嗽轻微，一般无痰。肺部无异常体征。胸部X线正常。</w:t>
      </w:r>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r>
        <w:rPr>
          <w:rFonts w:hint="eastAsia" w:ascii="微软雅黑" w:hAnsi="微软雅黑" w:eastAsia="微软雅黑" w:cs="微软雅黑"/>
          <w:color w:val="FF0000"/>
          <w:sz w:val="32"/>
          <w:szCs w:val="32"/>
          <w:highlight w:val="none"/>
        </w:rPr>
        <w:t xml:space="preserve">3.其他肺部疾病 </w:t>
      </w:r>
      <w:r>
        <w:rPr>
          <w:rFonts w:hint="eastAsia" w:ascii="微软雅黑" w:hAnsi="微软雅黑" w:eastAsia="微软雅黑" w:cs="微软雅黑"/>
          <w:color w:val="000000" w:themeColor="text1"/>
          <w:sz w:val="32"/>
          <w:szCs w:val="32"/>
          <w:highlight w:val="none"/>
          <w14:textFill>
            <w14:solidFill>
              <w14:schemeClr w14:val="tx1"/>
            </w14:solidFill>
          </w14:textFill>
        </w:rPr>
        <w:t xml:space="preserve"> 如支气管肺炎、肺结核、肺脓肿、肺癌、麻疹、百日咳等多种疾病可有类似咳嗽、咳痰症状，应详细检查，以资鉴别。</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慢性阻塞性肺疾病</w:t>
      </w:r>
    </w:p>
    <w:p>
      <w:pPr>
        <w:widowControl/>
        <w:numPr>
          <w:ilvl w:val="0"/>
          <w:numId w:val="0"/>
        </w:numPr>
        <w:jc w:val="both"/>
        <w:rPr>
          <w:rFonts w:hint="eastAsia" w:ascii="微软雅黑" w:hAnsi="微软雅黑" w:eastAsia="微软雅黑" w:cs="微软雅黑"/>
          <w:b w:val="0"/>
          <w:bCs w:val="0"/>
          <w:color w:val="FF0000"/>
          <w:sz w:val="30"/>
          <w:szCs w:val="30"/>
          <w:highlight w:val="none"/>
        </w:rPr>
      </w:pPr>
      <w:r>
        <w:rPr>
          <w:rFonts w:hint="eastAsia" w:ascii="微软雅黑" w:hAnsi="微软雅黑" w:eastAsia="微软雅黑" w:cs="微软雅黑"/>
          <w:b w:val="0"/>
          <w:bCs w:val="0"/>
          <w:color w:val="FF0000"/>
          <w:sz w:val="30"/>
          <w:szCs w:val="30"/>
          <w:highlight w:val="none"/>
        </w:rPr>
        <w:t>COPD的病理改变主要表现为慢性支气管炎及肺气肿的病理变化。肺组织弹性阻力及小气道阻力的动态肺顺应性降低。肺通气功能障碍，最大通气量降低。肺泡持续扩大，回缩障碍，则残气量及残气量占肺总量的百分比增加。肺气肿加重，换气功能发生障碍。通气和换气功能障碍可引起缺氧和二氧化碳潴留，发生不同程度的低氧血症和高碳酸血症，最终出现呼吸功能衰竭。</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诊断(鉴别诊断）</w:t>
      </w:r>
    </w:p>
    <w:p>
      <w:pPr>
        <w:widowControl/>
        <w:numPr>
          <w:ilvl w:val="0"/>
          <w:numId w:val="0"/>
        </w:numPr>
        <w:jc w:val="both"/>
        <w:rPr>
          <w:rFonts w:hint="eastAsia" w:ascii="微软雅黑" w:hAnsi="微软雅黑" w:eastAsia="微软雅黑" w:cs="微软雅黑"/>
          <w:b w:val="0"/>
          <w:bCs w:val="0"/>
          <w:color w:val="FF0000"/>
          <w:sz w:val="30"/>
          <w:szCs w:val="30"/>
          <w:highlight w:val="none"/>
        </w:rPr>
      </w:pPr>
      <w:r>
        <w:rPr>
          <w:rFonts w:hint="eastAsia" w:ascii="微软雅黑" w:hAnsi="微软雅黑" w:eastAsia="微软雅黑" w:cs="微软雅黑"/>
          <w:b w:val="0"/>
          <w:bCs w:val="0"/>
          <w:color w:val="FF0000"/>
          <w:sz w:val="30"/>
          <w:szCs w:val="30"/>
          <w:highlight w:val="none"/>
        </w:rPr>
        <w:t>(一）诊断要点</w:t>
      </w:r>
    </w:p>
    <w:p>
      <w:pPr>
        <w:widowControl/>
        <w:numPr>
          <w:ilvl w:val="0"/>
          <w:numId w:val="0"/>
        </w:numPr>
        <w:jc w:val="both"/>
        <w:rPr>
          <w:rFonts w:hint="eastAsia" w:ascii="微软雅黑" w:hAnsi="微软雅黑" w:eastAsia="微软雅黑" w:cs="微软雅黑"/>
          <w:b w:val="0"/>
          <w:bCs w:val="0"/>
          <w:color w:val="FF0000"/>
          <w:sz w:val="30"/>
          <w:szCs w:val="30"/>
          <w:highlight w:val="none"/>
        </w:rPr>
      </w:pPr>
      <w:r>
        <w:rPr>
          <w:rFonts w:hint="eastAsia" w:ascii="微软雅黑" w:hAnsi="微软雅黑" w:eastAsia="微软雅黑" w:cs="微软雅黑"/>
          <w:b w:val="0"/>
          <w:bCs w:val="0"/>
          <w:color w:val="FF0000"/>
          <w:sz w:val="30"/>
          <w:szCs w:val="30"/>
          <w:highlight w:val="none"/>
        </w:rPr>
        <w:t>主要根据吸烟等高危因素史、临床症状、体征及肺功能检查等综合分析确定。</w:t>
      </w:r>
    </w:p>
    <w:p>
      <w:pPr>
        <w:widowControl/>
        <w:numPr>
          <w:ilvl w:val="0"/>
          <w:numId w:val="0"/>
        </w:numPr>
        <w:jc w:val="both"/>
        <w:rPr>
          <w:rFonts w:hint="eastAsia" w:ascii="微软雅黑" w:hAnsi="微软雅黑" w:eastAsia="微软雅黑" w:cs="微软雅黑"/>
          <w:b w:val="0"/>
          <w:bCs w:val="0"/>
          <w:color w:val="FF0000"/>
          <w:sz w:val="30"/>
          <w:szCs w:val="30"/>
          <w:highlight w:val="none"/>
        </w:rPr>
      </w:pPr>
      <w:r>
        <w:rPr>
          <w:rFonts w:hint="eastAsia" w:ascii="微软雅黑" w:hAnsi="微软雅黑" w:eastAsia="微软雅黑" w:cs="微软雅黑"/>
          <w:b w:val="0"/>
          <w:bCs w:val="0"/>
          <w:color w:val="FF0000"/>
          <w:sz w:val="30"/>
          <w:szCs w:val="30"/>
          <w:highlight w:val="none"/>
        </w:rPr>
        <w:t>1.诊断COPD的必备条件  吸入支气管舒张剂后第一秒用力呼气肺容积(FEV1)/肺总容积(FVC)＜70% 及 FEV1＜80%预计值，可确定为“不完全可逆的气流受限”。</w:t>
      </w:r>
    </w:p>
    <w:tbl>
      <w:tblPr>
        <w:tblStyle w:val="6"/>
        <w:tblpPr w:leftFromText="180" w:rightFromText="180" w:vertAnchor="text" w:horzAnchor="page" w:tblpX="1796" w:tblpY="1295"/>
        <w:tblOverlap w:val="never"/>
        <w:tblW w:w="9615" w:type="dxa"/>
        <w:tblCellSpacing w:w="0" w:type="dxa"/>
        <w:tblInd w:w="0" w:type="dxa"/>
        <w:shd w:val="clear" w:color="auto" w:fill="auto"/>
        <w:tblLayout w:type="autofit"/>
        <w:tblCellMar>
          <w:top w:w="0" w:type="dxa"/>
          <w:left w:w="0" w:type="dxa"/>
          <w:bottom w:w="0" w:type="dxa"/>
          <w:right w:w="0" w:type="dxa"/>
        </w:tblCellMar>
      </w:tblPr>
      <w:tblGrid>
        <w:gridCol w:w="1054"/>
        <w:gridCol w:w="1193"/>
        <w:gridCol w:w="1536"/>
        <w:gridCol w:w="3371"/>
        <w:gridCol w:w="2461"/>
      </w:tblGrid>
      <w:tr>
        <w:tblPrEx>
          <w:shd w:val="clear" w:color="auto" w:fill="auto"/>
          <w:tblCellMar>
            <w:top w:w="0" w:type="dxa"/>
            <w:left w:w="0" w:type="dxa"/>
            <w:bottom w:w="0" w:type="dxa"/>
            <w:right w:w="0" w:type="dxa"/>
          </w:tblCellMar>
        </w:tblPrEx>
        <w:trPr>
          <w:trHeight w:val="720" w:hRule="atLeast"/>
          <w:tblCellSpacing w:w="0" w:type="dxa"/>
        </w:trPr>
        <w:tc>
          <w:tcPr>
            <w:tcW w:w="1054"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ascii="黑体" w:hAnsi="宋体" w:eastAsia="黑体" w:cs="黑体"/>
                <w:color w:val="000000" w:themeColor="text1"/>
                <w:sz w:val="32"/>
                <w:szCs w:val="32"/>
                <w14:textFill>
                  <w14:solidFill>
                    <w14:schemeClr w14:val="tx1"/>
                  </w14:solidFill>
                </w14:textFill>
              </w:rPr>
              <w:t>分级</w:t>
            </w:r>
          </w:p>
        </w:tc>
        <w:tc>
          <w:tcPr>
            <w:tcW w:w="1193"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程度</w:t>
            </w:r>
          </w:p>
        </w:tc>
        <w:tc>
          <w:tcPr>
            <w:tcW w:w="1536"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FEV1/FVC</w:t>
            </w:r>
          </w:p>
        </w:tc>
        <w:tc>
          <w:tcPr>
            <w:tcW w:w="337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FEV1占预计值百分比</w:t>
            </w:r>
          </w:p>
        </w:tc>
        <w:tc>
          <w:tcPr>
            <w:tcW w:w="246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临床症状</w:t>
            </w:r>
          </w:p>
        </w:tc>
      </w:tr>
      <w:tr>
        <w:tblPrEx>
          <w:shd w:val="clear" w:color="auto" w:fill="auto"/>
          <w:tblCellMar>
            <w:top w:w="0" w:type="dxa"/>
            <w:left w:w="0" w:type="dxa"/>
            <w:bottom w:w="0" w:type="dxa"/>
            <w:right w:w="0" w:type="dxa"/>
          </w:tblCellMar>
        </w:tblPrEx>
        <w:trPr>
          <w:trHeight w:val="680" w:hRule="atLeast"/>
          <w:tblCellSpacing w:w="0" w:type="dxa"/>
        </w:trPr>
        <w:tc>
          <w:tcPr>
            <w:tcW w:w="1054"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Ⅰ级</w:t>
            </w:r>
          </w:p>
        </w:tc>
        <w:tc>
          <w:tcPr>
            <w:tcW w:w="1193"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轻度</w:t>
            </w:r>
          </w:p>
        </w:tc>
        <w:tc>
          <w:tcPr>
            <w:tcW w:w="1536"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＜70%</w:t>
            </w:r>
          </w:p>
        </w:tc>
        <w:tc>
          <w:tcPr>
            <w:tcW w:w="337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80%预计值</w:t>
            </w:r>
          </w:p>
        </w:tc>
        <w:tc>
          <w:tcPr>
            <w:tcW w:w="246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有或无症状</w:t>
            </w:r>
          </w:p>
        </w:tc>
      </w:tr>
      <w:tr>
        <w:tblPrEx>
          <w:shd w:val="clear" w:color="auto" w:fill="auto"/>
          <w:tblCellMar>
            <w:top w:w="0" w:type="dxa"/>
            <w:left w:w="0" w:type="dxa"/>
            <w:bottom w:w="0" w:type="dxa"/>
            <w:right w:w="0" w:type="dxa"/>
          </w:tblCellMar>
        </w:tblPrEx>
        <w:trPr>
          <w:trHeight w:val="680" w:hRule="atLeast"/>
          <w:tblCellSpacing w:w="0" w:type="dxa"/>
        </w:trPr>
        <w:tc>
          <w:tcPr>
            <w:tcW w:w="1054"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Ⅱ级</w:t>
            </w:r>
          </w:p>
        </w:tc>
        <w:tc>
          <w:tcPr>
            <w:tcW w:w="1193"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中度</w:t>
            </w:r>
          </w:p>
        </w:tc>
        <w:tc>
          <w:tcPr>
            <w:tcW w:w="1536"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＜70%</w:t>
            </w:r>
          </w:p>
        </w:tc>
        <w:tc>
          <w:tcPr>
            <w:tcW w:w="337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50%≦FEV1＜8O%预计值</w:t>
            </w:r>
          </w:p>
        </w:tc>
        <w:tc>
          <w:tcPr>
            <w:tcW w:w="246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有或无症状</w:t>
            </w:r>
          </w:p>
        </w:tc>
      </w:tr>
      <w:tr>
        <w:tblPrEx>
          <w:shd w:val="clear" w:color="auto" w:fill="auto"/>
          <w:tblCellMar>
            <w:top w:w="0" w:type="dxa"/>
            <w:left w:w="0" w:type="dxa"/>
            <w:bottom w:w="0" w:type="dxa"/>
            <w:right w:w="0" w:type="dxa"/>
          </w:tblCellMar>
        </w:tblPrEx>
        <w:trPr>
          <w:trHeight w:val="680" w:hRule="atLeast"/>
          <w:tblCellSpacing w:w="0" w:type="dxa"/>
        </w:trPr>
        <w:tc>
          <w:tcPr>
            <w:tcW w:w="1054"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Ⅲ级</w:t>
            </w:r>
          </w:p>
        </w:tc>
        <w:tc>
          <w:tcPr>
            <w:tcW w:w="1193"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重度</w:t>
            </w:r>
          </w:p>
        </w:tc>
        <w:tc>
          <w:tcPr>
            <w:tcW w:w="1536"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＜70%</w:t>
            </w:r>
          </w:p>
        </w:tc>
        <w:tc>
          <w:tcPr>
            <w:tcW w:w="337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30%≦FEV1＜50%预计值</w:t>
            </w:r>
          </w:p>
        </w:tc>
        <w:tc>
          <w:tcPr>
            <w:tcW w:w="246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有或无症状</w:t>
            </w:r>
          </w:p>
        </w:tc>
      </w:tr>
      <w:tr>
        <w:tblPrEx>
          <w:shd w:val="clear" w:color="auto" w:fill="auto"/>
          <w:tblCellMar>
            <w:top w:w="0" w:type="dxa"/>
            <w:left w:w="0" w:type="dxa"/>
            <w:bottom w:w="0" w:type="dxa"/>
            <w:right w:w="0" w:type="dxa"/>
          </w:tblCellMar>
        </w:tblPrEx>
        <w:trPr>
          <w:trHeight w:val="1360" w:hRule="atLeast"/>
          <w:tblCellSpacing w:w="0" w:type="dxa"/>
        </w:trPr>
        <w:tc>
          <w:tcPr>
            <w:tcW w:w="1054"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Ⅳ级</w:t>
            </w:r>
          </w:p>
        </w:tc>
        <w:tc>
          <w:tcPr>
            <w:tcW w:w="1193"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极重度</w:t>
            </w:r>
          </w:p>
        </w:tc>
        <w:tc>
          <w:tcPr>
            <w:tcW w:w="1536"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＜70%</w:t>
            </w:r>
          </w:p>
        </w:tc>
        <w:tc>
          <w:tcPr>
            <w:tcW w:w="337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FEV1＜30%预计值</w:t>
            </w:r>
          </w:p>
        </w:tc>
        <w:tc>
          <w:tcPr>
            <w:tcW w:w="2461" w:type="dxa"/>
            <w:tcBorders>
              <w:top w:val="single" w:color="FFFFFF" w:sz="8" w:space="0"/>
              <w:left w:val="single" w:color="FFFFFF" w:sz="8" w:space="0"/>
              <w:bottom w:val="single" w:color="FFFFFF" w:sz="8" w:space="0"/>
              <w:right w:val="single" w:color="FFFFFF" w:sz="8" w:space="0"/>
            </w:tcBorders>
            <w:shd w:val="clear" w:color="auto" w:fill="auto"/>
            <w:tcMar>
              <w:left w:w="108" w:type="dxa"/>
              <w:right w:w="108" w:type="dxa"/>
            </w:tcMar>
            <w:vAlign w:val="top"/>
          </w:tcPr>
          <w:p>
            <w:pPr>
              <w:pStyle w:val="5"/>
              <w:keepNext w:val="0"/>
              <w:keepLines w:val="0"/>
              <w:widowControl/>
              <w:suppressLineNumbers w:val="0"/>
              <w:rPr>
                <w:color w:val="000000" w:themeColor="text1"/>
                <w14:textFill>
                  <w14:solidFill>
                    <w14:schemeClr w14:val="tx1"/>
                  </w14:solidFill>
                </w14:textFill>
              </w:rPr>
            </w:pPr>
            <w:r>
              <w:rPr>
                <w:rFonts w:hint="eastAsia" w:ascii="黑体" w:hAnsi="宋体" w:eastAsia="黑体" w:cs="黑体"/>
                <w:color w:val="000000" w:themeColor="text1"/>
                <w:sz w:val="32"/>
                <w:szCs w:val="32"/>
                <w14:textFill>
                  <w14:solidFill>
                    <w14:schemeClr w14:val="tx1"/>
                  </w14:solidFill>
                </w14:textFill>
              </w:rPr>
              <w:t>或FEV^3O%预计值，但伴有慢性呼吸衰竭</w:t>
            </w:r>
          </w:p>
        </w:tc>
      </w:tr>
    </w:tbl>
    <w:p>
      <w:pPr>
        <w:widowControl/>
        <w:numPr>
          <w:ilvl w:val="0"/>
          <w:numId w:val="0"/>
        </w:numPr>
        <w:jc w:val="both"/>
        <w:rPr>
          <w:rFonts w:hint="eastAsia" w:ascii="微软雅黑" w:hAnsi="微软雅黑" w:eastAsia="微软雅黑" w:cs="微软雅黑"/>
          <w:b w:val="0"/>
          <w:bCs w:val="0"/>
          <w:color w:val="FF0000"/>
          <w:sz w:val="30"/>
          <w:szCs w:val="30"/>
          <w:highlight w:val="none"/>
        </w:rPr>
      </w:pPr>
      <w:r>
        <w:rPr>
          <w:rFonts w:hint="eastAsia" w:ascii="微软雅黑" w:hAnsi="微软雅黑" w:eastAsia="微软雅黑" w:cs="微软雅黑"/>
          <w:b w:val="0"/>
          <w:bCs w:val="0"/>
          <w:color w:val="FF0000"/>
          <w:sz w:val="30"/>
          <w:szCs w:val="30"/>
          <w:highlight w:val="none"/>
        </w:rPr>
        <w:t>2.少数患者无咳嗽、咳痰，仅FEV1/FVC小于7O%、FEV1大于等于80%预计值，在除外其他疾病后，可诊断为COPD。</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支气管哮喘</w:t>
      </w:r>
    </w:p>
    <w:p>
      <w:pPr>
        <w:widowControl/>
        <w:numPr>
          <w:ilvl w:val="0"/>
          <w:numId w:val="0"/>
        </w:numPr>
        <w:jc w:val="both"/>
        <w:rPr>
          <w:rFonts w:hint="eastAsia" w:ascii="微软雅黑" w:hAnsi="微软雅黑" w:eastAsia="微软雅黑" w:cs="微软雅黑"/>
          <w:b/>
          <w:bCs/>
          <w:color w:val="FF0000"/>
          <w:sz w:val="44"/>
          <w:szCs w:val="44"/>
          <w:highlight w:val="none"/>
        </w:rPr>
      </w:pPr>
      <w:r>
        <w:rPr>
          <w:rFonts w:hint="eastAsia" w:ascii="微软雅黑" w:hAnsi="微软雅黑" w:eastAsia="微软雅黑" w:cs="微软雅黑"/>
          <w:b/>
          <w:bCs/>
          <w:color w:val="FF0000"/>
          <w:sz w:val="44"/>
          <w:szCs w:val="44"/>
          <w:highlight w:val="none"/>
        </w:rPr>
        <w:t>临床表现</w:t>
      </w:r>
    </w:p>
    <w:p>
      <w:pPr>
        <w:widowControl/>
        <w:numPr>
          <w:ilvl w:val="0"/>
          <w:numId w:val="0"/>
        </w:numPr>
        <w:jc w:val="both"/>
        <w:rPr>
          <w:rFonts w:hint="eastAsia" w:ascii="微软雅黑" w:hAnsi="微软雅黑" w:eastAsia="微软雅黑" w:cs="微软雅黑"/>
          <w:b w:val="0"/>
          <w:bCs w:val="0"/>
          <w:color w:val="000000" w:themeColor="text1"/>
          <w:sz w:val="30"/>
          <w:szCs w:val="30"/>
          <w:highlight w:val="none"/>
          <w14:textFill>
            <w14:solidFill>
              <w14:schemeClr w14:val="tx1"/>
            </w14:solidFill>
          </w14:textFill>
        </w:rPr>
      </w:pPr>
      <w:r>
        <w:rPr>
          <w:rFonts w:hint="eastAsia" w:ascii="微软雅黑" w:hAnsi="微软雅黑" w:eastAsia="微软雅黑" w:cs="微软雅黑"/>
          <w:b w:val="0"/>
          <w:bCs w:val="0"/>
          <w:color w:val="000000" w:themeColor="text1"/>
          <w:sz w:val="30"/>
          <w:szCs w:val="30"/>
          <w:highlight w:val="none"/>
          <w14:textFill>
            <w14:solidFill>
              <w14:schemeClr w14:val="tx1"/>
            </w14:solidFill>
          </w14:textFill>
        </w:rPr>
        <w:t>支气管哮喘急性发作表现为发作性伴有哮鸣音的呼气性呼吸困难或发作性咳嗽、胸闷。严重者被迫采取坐位或呈端坐呼吸，干咳或咳大量白色泡沫痰，严重者出现发绀等，咳嗽变异</w:t>
      </w:r>
    </w:p>
    <w:p>
      <w:pPr>
        <w:widowControl/>
        <w:numPr>
          <w:ilvl w:val="0"/>
          <w:numId w:val="0"/>
        </w:numPr>
        <w:jc w:val="both"/>
        <w:rPr>
          <w:rFonts w:hint="eastAsia" w:ascii="微软雅黑" w:hAnsi="微软雅黑" w:eastAsia="微软雅黑" w:cs="微软雅黑"/>
          <w:b w:val="0"/>
          <w:bCs w:val="0"/>
          <w:color w:val="000000" w:themeColor="text1"/>
          <w:sz w:val="30"/>
          <w:szCs w:val="30"/>
          <w:highlight w:val="none"/>
          <w14:textFill>
            <w14:solidFill>
              <w14:schemeClr w14:val="tx1"/>
            </w14:solidFill>
          </w14:textFill>
        </w:rPr>
      </w:pPr>
      <w:r>
        <w:rPr>
          <w:rFonts w:hint="eastAsia" w:ascii="微软雅黑" w:hAnsi="微软雅黑" w:eastAsia="微软雅黑" w:cs="微软雅黑"/>
          <w:b w:val="0"/>
          <w:bCs w:val="0"/>
          <w:color w:val="FF0000"/>
          <w:sz w:val="30"/>
          <w:szCs w:val="30"/>
          <w:highlight w:val="none"/>
        </w:rPr>
        <w:t>哮喘持续状态指的是常规治疗无效的严重哮喘发作，持续时间一般在12小时以上</w:t>
      </w:r>
    </w:p>
    <w:p>
      <w:pPr>
        <w:widowControl/>
        <w:numPr>
          <w:ilvl w:val="0"/>
          <w:numId w:val="0"/>
        </w:numPr>
        <w:jc w:val="both"/>
        <w:rPr>
          <w:rFonts w:hint="eastAsia" w:ascii="微软雅黑" w:hAnsi="微软雅黑" w:eastAsia="微软雅黑" w:cs="微软雅黑"/>
          <w:b/>
          <w:bCs/>
          <w:color w:val="000000" w:themeColor="text1"/>
          <w:sz w:val="44"/>
          <w:szCs w:val="44"/>
          <w:highlight w:val="none"/>
          <w14:textFill>
            <w14:solidFill>
              <w14:schemeClr w14:val="tx1"/>
            </w14:solidFill>
          </w14:textFill>
        </w:rPr>
      </w:pPr>
      <w:bookmarkStart w:id="0" w:name="_GoBack"/>
      <w:bookmarkEnd w:id="0"/>
    </w:p>
    <w:p>
      <w:pPr>
        <w:widowControl/>
        <w:numPr>
          <w:ilvl w:val="0"/>
          <w:numId w:val="0"/>
        </w:numPr>
        <w:jc w:val="both"/>
        <w:rPr>
          <w:rFonts w:hint="eastAsia" w:ascii="微软雅黑" w:hAnsi="微软雅黑" w:eastAsia="微软雅黑" w:cs="微软雅黑"/>
          <w:color w:val="000000" w:themeColor="text1"/>
          <w:sz w:val="32"/>
          <w:szCs w:val="32"/>
          <w:highlight w:val="none"/>
          <w14:textFill>
            <w14:solidFill>
              <w14:schemeClr w14:val="tx1"/>
            </w14:solidFill>
          </w14:textFill>
        </w:rPr>
      </w:pPr>
    </w:p>
    <w:p>
      <w:pPr>
        <w:widowControl/>
        <w:numPr>
          <w:ilvl w:val="0"/>
          <w:numId w:val="0"/>
        </w:numPr>
        <w:jc w:val="both"/>
        <w:rPr>
          <w:rFonts w:hint="eastAsia" w:ascii="微软雅黑" w:hAnsi="微软雅黑" w:eastAsia="微软雅黑" w:cs="微软雅黑"/>
          <w:color w:val="FF0000"/>
          <w:sz w:val="32"/>
          <w:szCs w:val="32"/>
          <w:highlight w:val="none"/>
        </w:rPr>
      </w:pPr>
    </w:p>
    <w:p>
      <w:pPr>
        <w:widowControl/>
        <w:numPr>
          <w:ilvl w:val="0"/>
          <w:numId w:val="0"/>
        </w:numPr>
        <w:jc w:val="both"/>
        <w:rPr>
          <w:rFonts w:hint="eastAsia" w:ascii="微软雅黑" w:hAnsi="微软雅黑" w:eastAsia="微软雅黑" w:cs="微软雅黑"/>
          <w:color w:val="FF0000"/>
          <w:sz w:val="32"/>
          <w:szCs w:val="32"/>
          <w:highlight w:val="none"/>
        </w:rPr>
      </w:pPr>
    </w:p>
    <w:p>
      <w:pPr>
        <w:widowControl/>
        <w:jc w:val="center"/>
        <w:rPr>
          <w:rFonts w:ascii="微软雅黑" w:hAnsi="微软雅黑" w:eastAsia="微软雅黑" w:cs="微软雅黑"/>
          <w:bCs/>
          <w:color w:val="FF0000"/>
          <w:kern w:val="0"/>
          <w:szCs w:val="21"/>
          <w:lang w:bidi="ar"/>
        </w:rPr>
      </w:pPr>
      <w:r>
        <w:rPr>
          <w:rFonts w:ascii="微软雅黑" w:hAnsi="微软雅黑" w:eastAsia="微软雅黑" w:cs="微软雅黑"/>
          <w:bCs/>
          <w:color w:val="FF0000"/>
          <w:kern w:val="0"/>
          <w:szCs w:val="21"/>
          <w:lang w:bidi="ar"/>
        </w:rPr>
        <w:drawing>
          <wp:inline distT="0" distB="0" distL="0" distR="0">
            <wp:extent cx="5274310" cy="8154035"/>
            <wp:effectExtent l="0" t="0" r="8890"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275218" cy="8155767"/>
                    </a:xfrm>
                    <a:prstGeom prst="rect">
                      <a:avLst/>
                    </a:prstGeom>
                    <a:noFill/>
                    <a:ln>
                      <a:noFill/>
                    </a:ln>
                  </pic:spPr>
                </pic:pic>
              </a:graphicData>
            </a:graphic>
          </wp:inline>
        </w:drawing>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仿宋">
    <w:altName w:val="仿宋"/>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微软雅黑" w:hAnsi="微软雅黑" w:eastAsia="微软雅黑"/>
      </w:rPr>
    </w:pPr>
    <w:r>
      <w:drawing>
        <wp:anchor distT="0" distB="0" distL="114300" distR="114300" simplePos="0" relativeHeight="251657216" behindDoc="1" locked="0" layoutInCell="1" allowOverlap="1">
          <wp:simplePos x="0" y="0"/>
          <wp:positionH relativeFrom="margin">
            <wp:posOffset>1322070</wp:posOffset>
          </wp:positionH>
          <wp:positionV relativeFrom="margin">
            <wp:posOffset>600710</wp:posOffset>
          </wp:positionV>
          <wp:extent cx="3124835" cy="2937510"/>
          <wp:effectExtent l="0" t="0" r="0" b="0"/>
          <wp:wrapNone/>
          <wp:docPr id="3"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drawing>
        <wp:anchor distT="0" distB="0" distL="114300" distR="114300" simplePos="0" relativeHeight="251658240" behindDoc="1" locked="0" layoutInCell="1" allowOverlap="1">
          <wp:simplePos x="0" y="0"/>
          <wp:positionH relativeFrom="margin">
            <wp:posOffset>1350645</wp:posOffset>
          </wp:positionH>
          <wp:positionV relativeFrom="margin">
            <wp:posOffset>3658235</wp:posOffset>
          </wp:positionV>
          <wp:extent cx="3124835" cy="2937510"/>
          <wp:effectExtent l="0" t="0" r="0" b="0"/>
          <wp:wrapNone/>
          <wp:docPr id="4"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rPr>
        <w:rFonts w:hint="eastAsia"/>
      </w:rPr>
      <w:t xml:space="preserve">直播笔记（直播习题）                                      </w:t>
    </w:r>
    <w:r>
      <w:rPr>
        <w:rFonts w:hint="eastAsia" w:ascii="微软雅黑" w:hAnsi="微软雅黑" w:eastAsia="微软雅黑"/>
      </w:rPr>
      <w:t xml:space="preserve"> 奋斗没有终点，任何时候都是一个起点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64892" o:spid="_x0000_s3073" o:spt="136" type="#_x0000_t136" style="position:absolute;left:0pt;height:79.2pt;width:508.05pt;mso-position-horizontal:center;mso-position-horizontal-relative:margin;mso-position-vertical:center;mso-position-vertical-relative:margin;rotation:-2949120f;z-index:-251658240;mso-width-relative:page;mso-height-relative:page;" fillcolor="#C0C0C0" filled="t" stroked="f" coordsize="21600,21600">
          <v:path/>
          <v:fill on="t" opacity="49807f" focussize="0,0"/>
          <v:stroke on="f"/>
          <v:imagedata o:title=""/>
          <o:lock v:ext="edit" aspectratio="t"/>
          <v:textpath on="t" fitshape="t" fitpath="t" trim="t" xscale="f" string="金英杰直播专属" style="font-family:华文行楷;font-size:36pt;v-text-align:center;"/>
        </v:shape>
      </w:pict>
    </w:r>
    <w:r>
      <w:rPr>
        <w:rFonts w:hint="eastAsia" w:ascii="微软雅黑" w:hAnsi="微软雅黑" w:eastAsia="微软雅黑"/>
      </w:rPr>
      <w:t>金英杰直播学院                                                                  4006061615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098"/>
    <w:rsid w:val="000234AB"/>
    <w:rsid w:val="000261E0"/>
    <w:rsid w:val="00031885"/>
    <w:rsid w:val="00073C5F"/>
    <w:rsid w:val="000776A4"/>
    <w:rsid w:val="000A5D69"/>
    <w:rsid w:val="000A6634"/>
    <w:rsid w:val="000B09B5"/>
    <w:rsid w:val="000C4189"/>
    <w:rsid w:val="000E6346"/>
    <w:rsid w:val="000E7F46"/>
    <w:rsid w:val="000F74D6"/>
    <w:rsid w:val="0012525B"/>
    <w:rsid w:val="001504B5"/>
    <w:rsid w:val="0015513B"/>
    <w:rsid w:val="00156DFF"/>
    <w:rsid w:val="0017595B"/>
    <w:rsid w:val="001C07FA"/>
    <w:rsid w:val="001E5DA1"/>
    <w:rsid w:val="001F1098"/>
    <w:rsid w:val="002141F8"/>
    <w:rsid w:val="00260530"/>
    <w:rsid w:val="002A62D8"/>
    <w:rsid w:val="002D75A9"/>
    <w:rsid w:val="0030366C"/>
    <w:rsid w:val="00315C2A"/>
    <w:rsid w:val="0037065B"/>
    <w:rsid w:val="00370AF5"/>
    <w:rsid w:val="00394F2F"/>
    <w:rsid w:val="003C5E8E"/>
    <w:rsid w:val="003D5EDA"/>
    <w:rsid w:val="003F6265"/>
    <w:rsid w:val="004039A1"/>
    <w:rsid w:val="00423EC5"/>
    <w:rsid w:val="00443B68"/>
    <w:rsid w:val="0049524B"/>
    <w:rsid w:val="004A7CBC"/>
    <w:rsid w:val="004F7008"/>
    <w:rsid w:val="00507D2C"/>
    <w:rsid w:val="00513986"/>
    <w:rsid w:val="005317E0"/>
    <w:rsid w:val="00537B43"/>
    <w:rsid w:val="005519B0"/>
    <w:rsid w:val="005747AC"/>
    <w:rsid w:val="00594B66"/>
    <w:rsid w:val="005F7AAD"/>
    <w:rsid w:val="00653697"/>
    <w:rsid w:val="00670D25"/>
    <w:rsid w:val="00683F2B"/>
    <w:rsid w:val="006903E7"/>
    <w:rsid w:val="006E40FF"/>
    <w:rsid w:val="006E4611"/>
    <w:rsid w:val="00762FC6"/>
    <w:rsid w:val="0077570B"/>
    <w:rsid w:val="00776E9C"/>
    <w:rsid w:val="007A1E5C"/>
    <w:rsid w:val="007B6B11"/>
    <w:rsid w:val="007D47AA"/>
    <w:rsid w:val="007E28CE"/>
    <w:rsid w:val="0082660B"/>
    <w:rsid w:val="0089108A"/>
    <w:rsid w:val="008946FC"/>
    <w:rsid w:val="008A64AB"/>
    <w:rsid w:val="008B06E8"/>
    <w:rsid w:val="008D63E2"/>
    <w:rsid w:val="008E3B07"/>
    <w:rsid w:val="008F2991"/>
    <w:rsid w:val="00903CB9"/>
    <w:rsid w:val="009A5026"/>
    <w:rsid w:val="009A7D5F"/>
    <w:rsid w:val="009B0BEA"/>
    <w:rsid w:val="00A21E12"/>
    <w:rsid w:val="00A81966"/>
    <w:rsid w:val="00B25974"/>
    <w:rsid w:val="00B461D1"/>
    <w:rsid w:val="00B60A88"/>
    <w:rsid w:val="00B97678"/>
    <w:rsid w:val="00BD4E1E"/>
    <w:rsid w:val="00C229B7"/>
    <w:rsid w:val="00CE50A9"/>
    <w:rsid w:val="00D07DC1"/>
    <w:rsid w:val="00D13D20"/>
    <w:rsid w:val="00D761CA"/>
    <w:rsid w:val="00D976CE"/>
    <w:rsid w:val="00DE4320"/>
    <w:rsid w:val="00DF0A44"/>
    <w:rsid w:val="00DF366E"/>
    <w:rsid w:val="00E16C35"/>
    <w:rsid w:val="00E31340"/>
    <w:rsid w:val="00E44821"/>
    <w:rsid w:val="00E92C2D"/>
    <w:rsid w:val="00EA203D"/>
    <w:rsid w:val="00EA6F0F"/>
    <w:rsid w:val="00EC64CB"/>
    <w:rsid w:val="00EC71AE"/>
    <w:rsid w:val="00F1300A"/>
    <w:rsid w:val="04E23240"/>
    <w:rsid w:val="08941356"/>
    <w:rsid w:val="0B883D21"/>
    <w:rsid w:val="0D0A2974"/>
    <w:rsid w:val="108A1211"/>
    <w:rsid w:val="11584904"/>
    <w:rsid w:val="15452C1B"/>
    <w:rsid w:val="18887C75"/>
    <w:rsid w:val="19203904"/>
    <w:rsid w:val="1C237148"/>
    <w:rsid w:val="1F0D7201"/>
    <w:rsid w:val="1FE41692"/>
    <w:rsid w:val="229609B0"/>
    <w:rsid w:val="27C31990"/>
    <w:rsid w:val="2A264291"/>
    <w:rsid w:val="2AFB391C"/>
    <w:rsid w:val="2D944E6F"/>
    <w:rsid w:val="30BE4E7C"/>
    <w:rsid w:val="310D1B22"/>
    <w:rsid w:val="317D0338"/>
    <w:rsid w:val="35E8190D"/>
    <w:rsid w:val="36A67330"/>
    <w:rsid w:val="3BC77499"/>
    <w:rsid w:val="3FE36BB6"/>
    <w:rsid w:val="427E5E78"/>
    <w:rsid w:val="43630002"/>
    <w:rsid w:val="4C364232"/>
    <w:rsid w:val="50D069F5"/>
    <w:rsid w:val="524C286E"/>
    <w:rsid w:val="53A10A14"/>
    <w:rsid w:val="558D327E"/>
    <w:rsid w:val="598255E2"/>
    <w:rsid w:val="5CD54669"/>
    <w:rsid w:val="5DF52C04"/>
    <w:rsid w:val="62741B8A"/>
    <w:rsid w:val="639B3BE8"/>
    <w:rsid w:val="649E7790"/>
    <w:rsid w:val="6506111D"/>
    <w:rsid w:val="693475CD"/>
    <w:rsid w:val="6A3452D6"/>
    <w:rsid w:val="6BDD12AE"/>
    <w:rsid w:val="6D9A5011"/>
    <w:rsid w:val="71B40CB5"/>
    <w:rsid w:val="730205B7"/>
    <w:rsid w:val="75126675"/>
    <w:rsid w:val="75AD5EC5"/>
    <w:rsid w:val="75E50C7B"/>
    <w:rsid w:val="7AF94B9A"/>
    <w:rsid w:val="7F667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iPriority w:val="0"/>
    <w:rPr>
      <w:color w:val="0563C1" w:themeColor="hyperlink"/>
      <w:u w:val="single"/>
      <w14:textFill>
        <w14:solidFill>
          <w14:schemeClr w14:val="hlink"/>
        </w14:solidFill>
      </w14:textFill>
    </w:rPr>
  </w:style>
  <w:style w:type="character" w:customStyle="1" w:styleId="10">
    <w:name w:val="apple-converted-space"/>
    <w:basedOn w:val="8"/>
    <w:qFormat/>
    <w:uiPriority w:val="0"/>
  </w:style>
  <w:style w:type="character" w:customStyle="1" w:styleId="11">
    <w:name w:val="Unresolved Mention"/>
    <w:basedOn w:val="8"/>
    <w:semiHidden/>
    <w:unhideWhenUsed/>
    <w:qFormat/>
    <w:uiPriority w:val="99"/>
    <w:rPr>
      <w:color w:val="605E5C"/>
      <w:shd w:val="clear" w:color="auto" w:fill="E1DFDD"/>
    </w:rPr>
  </w:style>
  <w:style w:type="character" w:customStyle="1" w:styleId="12">
    <w:name w:val="日期 字符"/>
    <w:basedOn w:val="8"/>
    <w:link w:val="2"/>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428</Words>
  <Characters>2441</Characters>
  <Lines>20</Lines>
  <Paragraphs>5</Paragraphs>
  <TotalTime>3</TotalTime>
  <ScaleCrop>false</ScaleCrop>
  <LinksUpToDate>false</LinksUpToDate>
  <CharactersWithSpaces>2864</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2019-10-11T07:47:00Z</dcterms:created>
  <dc:creator>Administrator</dc:creator>
  <cp:lastModifiedBy>新鲜人</cp:lastModifiedBy>
  <dcterms:modified xsi:type="dcterms:W3CDTF">2019-12-02T06:35:08Z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